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LILIANA MONTOYA CUARTAS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COMPAÑÍA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NACIONAL DE CHOCOLATES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65 12 60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TELÉFONO:4173250 EXT 17365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2021ER39448</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COMPAÑÍA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NACIONAL DE CHOCOLATES S.A.S. identificada con NIT 811036030-9 y cuya sede inscrita fue la ubicada en Carrera  65 12 60,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2"/>
              <w:gridCol w:w="2772"/>
              <w:gridCol w:w="2764"/>
              <w:tblGridChange w:id="0">
                <w:tblGrid>
                  <w:gridCol w:w="2732"/>
                  <w:gridCol w:w="2772"/>
                  <w:gridCol w:w="2764"/>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COMPAÑÍA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NACIONAL DE CHOCOLATES S.A.S.</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7654" w:hRule="atLeast"/>
          <w:tblHeader w:val="0"/>
        </w:trPr>
        <w:tc>
          <w:tcPr>
            <w:shd w:fill="auto"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Juan Pablo Silva Cabezas y Luz Esperanza Pantano, asistieron al 80 y 100 %  de las mesas de trabajo respectivamente, cumpliendo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de los 25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lo siguiente: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-Especificar cada uno de los proyectos en los que viene trabajando la organización</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-Indicar la etapa de avance en cada uno de ellos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-Delimitar el alcance y objetivos de cada uno de los proyectos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la organización, entrega formato ajustado y presenta el proyecto aislamiento térmico en las líneas de vapor</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implementación de aislante térmico en las líneas de vapor y aislante térmico a partir de marzo del 2021; se cuenta con indicadores formulados, sin embargo aún no se posible relacionar resultados asociados al proyecto, se recomienda estimar los resultados parciales que se tengan hasta el momento. Finalmente respecto al cronograma inicialmente presentado se menciona que hay un cumplimiento del 79% de las actividades formuladas.</w:t>
                  </w:r>
                </w:p>
              </w:tc>
            </w:tr>
            <w:tr>
              <w:trPr>
                <w:cantSplit w:val="0"/>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la implementación y puesta en marcha del proyecto; el reporte de los resultados del proyecto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ahorros energéticos, económicos y los beneficios ambientales; finalmente, se evidencia interés en mantener el proyecto en el tiempo, con el fin de </w:t>
                  </w:r>
                  <w:r w:rsidDel="00000000" w:rsidR="00000000" w:rsidRPr="00000000">
                    <w:rPr>
                      <w:rFonts w:ascii="Arial" w:cs="Arial" w:eastAsia="Arial" w:hAnsi="Arial"/>
                      <w:sz w:val="22"/>
                      <w:szCs w:val="22"/>
                      <w:rtl w:val="0"/>
                    </w:rPr>
                    <w:t xml:space="preserve">seguir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reduciendo las </w:t>
                  </w:r>
                  <w:r w:rsidDel="00000000" w:rsidR="00000000" w:rsidRPr="00000000">
                    <w:rPr>
                      <w:rFonts w:ascii="Arial" w:cs="Arial" w:eastAsia="Arial" w:hAnsi="Arial"/>
                      <w:sz w:val="22"/>
                      <w:szCs w:val="22"/>
                      <w:rtl w:val="0"/>
                    </w:rPr>
                    <w:t xml:space="preserve">pérdidas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energéticas.</w:t>
                  </w:r>
                </w:p>
              </w:tc>
            </w:tr>
            <w:tr>
              <w:trPr>
                <w:cantSplit w:val="0"/>
                <w:trHeight w:val="1081" w:hRule="atLeast"/>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la sesión de socialización  de su proyecto. Sin embargo, envía presentación del mismo cumpliendo con los lineamientos establecidos.</w:t>
                  </w:r>
                </w:p>
              </w:tc>
            </w:tr>
            <w:tr>
              <w:trPr>
                <w:cantSplit w:val="0"/>
                <w:tblHeader w:val="0"/>
              </w:trPr>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96</w:t>
                  </w: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Aislamiento térmico en líneas de vapor y aceite térmico</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Aislamiento térmico en líneas de vapor y aceite térmico, debido al deterioro en los componentes aislantes al cumplir su vida </w:t>
                  </w:r>
                  <w:r w:rsidDel="00000000" w:rsidR="00000000" w:rsidRPr="00000000">
                    <w:rPr>
                      <w:rFonts w:ascii="Arial" w:cs="Arial" w:eastAsia="Arial" w:hAnsi="Arial"/>
                      <w:sz w:val="22"/>
                      <w:szCs w:val="22"/>
                      <w:rtl w:val="0"/>
                    </w:rPr>
                    <w:t xml:space="preserve">útil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así como la generación del plan para aislar las tuberías que no lo tienen.</w:t>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aislamiento térmico en sus líneas de vapor y aceite. Este proyecto fue implementado en su totalidad y se reportaron los beneficios energéticos, económicos y ambientales obtenidos hasta el momento. Se recomienda seguir avanzando  en las oportunidades identificadas  para mejorar el desempeño energético de la organización.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mfEgEmcXTmkhoXXlw67uKX6mdg==">AMUW2mUMnQGrOikBwRccgSnF4rXsXYlrJLjvje0l5fVO2GI49bdFVzi9eu5SDyDZq0hvTAe9FuNM9pVblL9T8Rx+zpqcg/hKRbMsIrkheE64OfR6bi3FOtE=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2021-11-26T15:06:00Z</dcterms:created>
  <dc:creator>Jorge Manrique</dc:creator>
</cp:coreProperties>
</file>